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BD" w:rsidRDefault="004C11BD" w:rsidP="004C11BD">
      <w:pPr>
        <w:autoSpaceDE w:val="0"/>
        <w:autoSpaceDN w:val="0"/>
        <w:adjustRightInd w:val="0"/>
        <w:spacing w:after="0"/>
        <w:ind w:left="75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Pro zdravotnické pracovníky formou LN a dále prosím vložit na webové stránky "Oznámení OLM:"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  <w:t xml:space="preserve">Oddělení laboratorní medicíny oznamuje, že od 9.6.2022 zavádí stanovení kortizolu a cystatinu C. 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b/>
          <w:bCs/>
          <w:color w:val="000000"/>
          <w:szCs w:val="20"/>
        </w:rPr>
        <w:br/>
        <w:t xml:space="preserve">Kortizol: </w:t>
      </w:r>
      <w:r>
        <w:rPr>
          <w:rFonts w:ascii="Arial" w:hAnsi="Arial" w:cs="Arial"/>
          <w:color w:val="000000"/>
          <w:szCs w:val="20"/>
        </w:rPr>
        <w:br/>
        <w:t>Vyšetření se provádí z Li-heparin plazmy (oranžová zkumavka), výběrová skupina Endokrinologie, vyšetření je dostupné ve standardní pracovní době OLM ve všední dny v čase 7-15:30 hod.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  <w:t>Kortizol je hlavním glukokortikoidem kůry nadledvin. Produkce je regulována prostřednictvím hypotalamo-hypofyzární -adrenální osy CRH-ACTH-Kortizol.</w:t>
      </w:r>
      <w:r>
        <w:rPr>
          <w:rFonts w:ascii="Arial" w:hAnsi="Arial" w:cs="Arial"/>
          <w:color w:val="000000"/>
          <w:szCs w:val="20"/>
        </w:rPr>
        <w:br/>
        <w:t>Hlavními stimuly pro uvolnění jsou stres (teplo, zima, fyzická zátěž), adrenalin, ADH, pyrogeny, bolest, hypoglykémie.</w:t>
      </w:r>
      <w:r>
        <w:rPr>
          <w:rFonts w:ascii="Arial" w:hAnsi="Arial" w:cs="Arial"/>
          <w:color w:val="000000"/>
          <w:szCs w:val="20"/>
        </w:rPr>
        <w:br/>
        <w:t>Kortizol v plazmě je transportován ve vazbě na bílkoviny (transcortin, albumin), asi 3% plazmatického poolu tvoří volný, biologický aktivní hormon.</w:t>
      </w:r>
      <w:r>
        <w:rPr>
          <w:rFonts w:ascii="Arial" w:hAnsi="Arial" w:cs="Arial"/>
          <w:color w:val="000000"/>
          <w:szCs w:val="20"/>
        </w:rPr>
        <w:br/>
        <w:t>Mezi hlavní fyziologické funkce patří regulace intermediárního metabolismu bílkovin, glukózy a lipidů, regulace krevního tlaku a imunomodulační vliv.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b/>
          <w:bCs/>
          <w:color w:val="000000"/>
          <w:szCs w:val="20"/>
        </w:rPr>
        <w:br/>
        <w:t>Indikace vyšetření:</w:t>
      </w:r>
      <w:r>
        <w:rPr>
          <w:rFonts w:ascii="Arial" w:hAnsi="Arial" w:cs="Arial"/>
          <w:color w:val="000000"/>
          <w:szCs w:val="20"/>
        </w:rPr>
        <w:br/>
        <w:t>Diagnostika hyper/hypokortisolismu, diferenciální diagnostika poruch osy CRH-ACTH-Kortizolu pomocí funkčních testů.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  <w:t>V plazmě se stanovuje celkový kortizol (volný + vázaný na transportní proteiny), v moči a ve slinách se vyskytuje jen ve volné formě.</w:t>
      </w:r>
      <w:r>
        <w:rPr>
          <w:rFonts w:ascii="Arial" w:hAnsi="Arial" w:cs="Arial"/>
          <w:color w:val="000000"/>
          <w:szCs w:val="20"/>
        </w:rPr>
        <w:br/>
        <w:t>Vzhledem k výraznému diurnálnímu kolísání koncentrace v plazmě je pro správnou interpretaci výsledků nutné dodržet doporučený čas odběru, ke kterému se váže příslušné referenční rozmezí.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b/>
          <w:bCs/>
          <w:color w:val="000000"/>
          <w:szCs w:val="20"/>
        </w:rPr>
        <w:br/>
        <w:t>Ranní hodnoty (6-10 hod)</w:t>
      </w:r>
      <w:r>
        <w:rPr>
          <w:rFonts w:ascii="Arial" w:hAnsi="Arial" w:cs="Arial"/>
          <w:color w:val="000000"/>
          <w:szCs w:val="20"/>
        </w:rPr>
        <w:t xml:space="preserve">:                166-507 nmol/l (5 - 95  percentil)  </w:t>
      </w:r>
      <w:r>
        <w:rPr>
          <w:rFonts w:ascii="Arial" w:hAnsi="Arial" w:cs="Arial"/>
          <w:b/>
          <w:bCs/>
          <w:color w:val="000000"/>
          <w:szCs w:val="20"/>
        </w:rPr>
        <w:br/>
        <w:t>Odpolední hodnoty (16-20 hod)</w:t>
      </w:r>
      <w:r>
        <w:rPr>
          <w:rFonts w:ascii="Arial" w:hAnsi="Arial" w:cs="Arial"/>
          <w:color w:val="000000"/>
          <w:szCs w:val="20"/>
        </w:rPr>
        <w:t>:       73,8-291 nmol/l (5 - 95 percentil)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  <w:t>Pro diferenciální diagnostiku hyper/hypokorticismu není stanovení koncentrace kortizolu v jednom odběru postačující, využívají se funkční testy regulační osy hypotalamus-hypofýza-nadledvina (ACTH stimulační test, dexametazonový supresní test a další).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b/>
          <w:bCs/>
          <w:color w:val="000000"/>
          <w:szCs w:val="20"/>
        </w:rPr>
        <w:br/>
        <w:t>Cystatin C:</w:t>
      </w:r>
      <w:r>
        <w:rPr>
          <w:rFonts w:ascii="Arial" w:hAnsi="Arial" w:cs="Arial"/>
          <w:color w:val="000000"/>
          <w:szCs w:val="20"/>
        </w:rPr>
        <w:br/>
        <w:t>Vyšetření se provádí z Li-heparin plazmy (oranžová zkumavka), výběrová skupina Biochemie, dostupnost vyšetření 24 hod. Z hodnoty cystatinu C bude vypočítán odhad glomerulární filtrace dle vzorce CKD-EPI.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  <w:t>Cystatin C je nízkomolekulární protein (13 kDa), fyziologický inhibitor cysteinových proteáz. Je produkován konstantně všemi jadernými buňkami. Proniká volně glomerulární membránou a je plně resorbován nebo degradován tubulárními buňkami. Při poklesu glomerulární filtrace je zadržován, jeho koncentrace v séru se zvyšuje a odpovídá poklesu glomerulární filtrace. Koncentrace cystatinu C je nezávislá na svalové hmotě a pohlaví.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b/>
          <w:bCs/>
          <w:color w:val="000000"/>
          <w:szCs w:val="20"/>
        </w:rPr>
        <w:br/>
        <w:t>Indikace vyšetření:</w:t>
      </w:r>
      <w:r>
        <w:rPr>
          <w:rFonts w:ascii="Arial" w:hAnsi="Arial" w:cs="Arial"/>
          <w:color w:val="000000"/>
          <w:szCs w:val="20"/>
        </w:rPr>
        <w:br/>
        <w:t>Výpočet glomerulární filtrace v iniciálním stadiu renálního poškození</w:t>
      </w:r>
      <w:r>
        <w:rPr>
          <w:rFonts w:ascii="Arial" w:hAnsi="Arial" w:cs="Arial"/>
          <w:color w:val="000000"/>
          <w:szCs w:val="20"/>
        </w:rPr>
        <w:br/>
        <w:t>Přesnější odhad glomerulární filtrace u pacientů s nízkou svalovou hmotností (dlouhodobá imobilizace, malnutrice, svalová dystrofie, ztráta významné části končetiny)</w:t>
      </w:r>
      <w:r>
        <w:rPr>
          <w:rFonts w:ascii="Arial" w:hAnsi="Arial" w:cs="Arial"/>
          <w:color w:val="000000"/>
          <w:szCs w:val="20"/>
        </w:rPr>
        <w:br/>
        <w:t>Výpočet indexu ukazatele sarkopenie (Cystatin C/kreatinin)</w:t>
      </w:r>
      <w:r>
        <w:rPr>
          <w:rFonts w:ascii="Arial" w:hAnsi="Arial" w:cs="Arial"/>
          <w:color w:val="000000"/>
          <w:szCs w:val="20"/>
        </w:rPr>
        <w:br/>
        <w:t>U stavů, kde koncentrace kreatininu je významněji ovlivněna (těhotné, generalizované otoky, malé děti, rychlé změny stavu)</w:t>
      </w:r>
      <w:r>
        <w:rPr>
          <w:rFonts w:ascii="Arial" w:hAnsi="Arial" w:cs="Arial"/>
          <w:color w:val="000000"/>
          <w:szCs w:val="20"/>
        </w:rPr>
        <w:br/>
        <w:t>Marker kardiovaskulárního rizika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b/>
          <w:bCs/>
          <w:color w:val="000000"/>
          <w:szCs w:val="20"/>
        </w:rPr>
        <w:br/>
        <w:t xml:space="preserve">Očekávané hodnoty </w:t>
      </w:r>
      <w:r>
        <w:rPr>
          <w:rFonts w:ascii="Arial" w:hAnsi="Arial" w:cs="Arial"/>
          <w:color w:val="000000"/>
          <w:szCs w:val="20"/>
        </w:rPr>
        <w:t>(2,5 - 97,5 percentil) :</w:t>
      </w:r>
      <w:r>
        <w:rPr>
          <w:rFonts w:ascii="Arial" w:hAnsi="Arial" w:cs="Arial"/>
          <w:color w:val="000000"/>
          <w:szCs w:val="20"/>
        </w:rPr>
        <w:br/>
        <w:t xml:space="preserve"> 0,61mg/l - 0,95 mg/l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b/>
          <w:bCs/>
          <w:color w:val="000000"/>
          <w:szCs w:val="20"/>
        </w:rPr>
        <w:br/>
        <w:t>Omezení použití - interference:</w:t>
      </w: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lastRenderedPageBreak/>
        <w:t>Terapie glukokortikoidy - uvádí se, že sérové koncentrace cystatinu C mohou být zvýšené u pac. se zhoršenou funkcí ledvin léčených kortikosteroidy</w:t>
      </w:r>
      <w:r>
        <w:rPr>
          <w:rFonts w:ascii="Arial" w:hAnsi="Arial" w:cs="Arial"/>
          <w:color w:val="000000"/>
          <w:szCs w:val="20"/>
        </w:rPr>
        <w:br/>
        <w:t xml:space="preserve">U pacientů s nekompenzovanou hyper  (zvýšení) nebo hypothyreózou (snížení). </w:t>
      </w:r>
    </w:p>
    <w:p w:rsidR="004C11BD" w:rsidRDefault="004C11BD" w:rsidP="004C11BD">
      <w:pPr>
        <w:autoSpaceDE w:val="0"/>
        <w:autoSpaceDN w:val="0"/>
        <w:adjustRightInd w:val="0"/>
        <w:spacing w:before="240" w:after="0"/>
        <w:ind w:left="75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</w:p>
    <w:p w:rsidR="00231FEE" w:rsidRPr="00E87BB8" w:rsidRDefault="00231FEE" w:rsidP="00E87BB8">
      <w:bookmarkStart w:id="0" w:name="_GoBack"/>
      <w:bookmarkEnd w:id="0"/>
    </w:p>
    <w:sectPr w:rsidR="00231FEE" w:rsidRPr="00E87BB8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4D" w:rsidRDefault="00084A4D" w:rsidP="00E819EC">
      <w:r>
        <w:separator/>
      </w:r>
    </w:p>
  </w:endnote>
  <w:endnote w:type="continuationSeparator" w:id="0">
    <w:p w:rsidR="00084A4D" w:rsidRDefault="00084A4D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C11B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4C11BD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C11BD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4C11B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4D" w:rsidRDefault="00084A4D" w:rsidP="00E819EC">
      <w:r>
        <w:separator/>
      </w:r>
    </w:p>
  </w:footnote>
  <w:footnote w:type="continuationSeparator" w:id="0">
    <w:p w:rsidR="00084A4D" w:rsidRDefault="00084A4D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AEB3D1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C8DB72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D"/>
    <w:rsid w:val="00042CBC"/>
    <w:rsid w:val="00077AC3"/>
    <w:rsid w:val="00084A4D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11BD"/>
    <w:rsid w:val="004C5E57"/>
    <w:rsid w:val="004D2C3D"/>
    <w:rsid w:val="004F616D"/>
    <w:rsid w:val="00502C4C"/>
    <w:rsid w:val="005230AD"/>
    <w:rsid w:val="00523C63"/>
    <w:rsid w:val="00562324"/>
    <w:rsid w:val="00580B66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7B5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D690DE80-2F35-4E1B-8997-8D0E0D4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Mgr. Anna Svobodová</cp:lastModifiedBy>
  <cp:revision>1</cp:revision>
  <dcterms:created xsi:type="dcterms:W3CDTF">2022-06-10T06:04:00Z</dcterms:created>
  <dcterms:modified xsi:type="dcterms:W3CDTF">2022-06-10T06:04:00Z</dcterms:modified>
</cp:coreProperties>
</file>